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firstLine="0"/>
        <w:jc w:val="left"/>
        <w:rPr>
          <w:rFonts w:ascii="Tahoma" w:hAnsi="Tahoma" w:eastAsia="Tahoma" w:cs="Tahoma"/>
          <w:caps w:val="0"/>
          <w:color w:val="333333"/>
          <w:spacing w:val="0"/>
          <w:sz w:val="21"/>
          <w:szCs w:val="21"/>
        </w:rPr>
      </w:pPr>
      <w:r>
        <w:rPr>
          <w:rFonts w:ascii="黑体" w:hAnsi="宋体" w:eastAsia="黑体" w:cs="黑体"/>
          <w:caps w:val="0"/>
          <w:color w:val="333333"/>
          <w:spacing w:val="0"/>
          <w:kern w:val="0"/>
          <w:sz w:val="31"/>
          <w:szCs w:val="31"/>
          <w:bdr w:val="none" w:color="auto" w:sz="0" w:space="0"/>
          <w:lang w:val="en-US" w:eastAsia="zh-CN" w:bidi="ar"/>
        </w:rPr>
        <w:t>附件</w:t>
      </w:r>
      <w:r>
        <w:rPr>
          <w:rFonts w:hint="eastAsia" w:ascii="黑体" w:hAnsi="宋体" w:eastAsia="黑体" w:cs="黑体"/>
          <w:caps w:val="0"/>
          <w:color w:val="333333"/>
          <w:spacing w:val="0"/>
          <w:kern w:val="0"/>
          <w:sz w:val="31"/>
          <w:szCs w:val="31"/>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firstLine="0"/>
        <w:jc w:val="left"/>
        <w:rPr>
          <w:rFonts w:hint="default" w:ascii="Tahoma" w:hAnsi="Tahoma" w:eastAsia="Tahoma" w:cs="Tahoma"/>
          <w:caps w:val="0"/>
          <w:color w:val="333333"/>
          <w:spacing w:val="0"/>
          <w:sz w:val="21"/>
          <w:szCs w:val="21"/>
        </w:rPr>
      </w:pPr>
      <w:r>
        <w:rPr>
          <w:rFonts w:hint="eastAsia" w:ascii="黑体" w:hAnsi="宋体" w:eastAsia="黑体" w:cs="黑体"/>
          <w:caps w:val="0"/>
          <w:color w:val="333333"/>
          <w:spacing w:val="0"/>
          <w:kern w:val="0"/>
          <w:sz w:val="31"/>
          <w:szCs w:val="3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0"/>
        <w:jc w:val="center"/>
        <w:rPr>
          <w:rFonts w:hint="default" w:ascii="Tahoma" w:hAnsi="Tahoma" w:eastAsia="Tahoma" w:cs="Tahoma"/>
          <w:caps w:val="0"/>
          <w:color w:val="333333"/>
          <w:spacing w:val="0"/>
          <w:sz w:val="21"/>
          <w:szCs w:val="21"/>
        </w:rPr>
      </w:pPr>
      <w:r>
        <w:rPr>
          <w:rStyle w:val="5"/>
          <w:rFonts w:hint="eastAsia" w:ascii="宋体" w:hAnsi="宋体" w:eastAsia="宋体" w:cs="宋体"/>
          <w:caps w:val="0"/>
          <w:color w:val="333333"/>
          <w:spacing w:val="0"/>
          <w:kern w:val="0"/>
          <w:sz w:val="36"/>
          <w:szCs w:val="36"/>
          <w:bdr w:val="none" w:color="auto" w:sz="0" w:space="0"/>
          <w:lang w:val="en-US" w:eastAsia="zh-CN" w:bidi="ar"/>
        </w:rPr>
        <w:t>武汉商学院2024年普通专升本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0"/>
        <w:jc w:val="center"/>
        <w:rPr>
          <w:rFonts w:hint="default" w:ascii="Tahoma" w:hAnsi="Tahoma" w:eastAsia="Tahoma" w:cs="Tahoma"/>
          <w:caps w:val="0"/>
          <w:color w:val="333333"/>
          <w:spacing w:val="0"/>
          <w:sz w:val="21"/>
          <w:szCs w:val="21"/>
        </w:rPr>
      </w:pPr>
      <w:r>
        <w:rPr>
          <w:rStyle w:val="5"/>
          <w:rFonts w:hint="eastAsia" w:ascii="宋体" w:hAnsi="宋体" w:eastAsia="宋体" w:cs="宋体"/>
          <w:caps w:val="0"/>
          <w:color w:val="333333"/>
          <w:spacing w:val="0"/>
          <w:kern w:val="0"/>
          <w:sz w:val="36"/>
          <w:szCs w:val="36"/>
          <w:bdr w:val="none" w:color="auto" w:sz="0" w:space="0"/>
          <w:lang w:val="en-US" w:eastAsia="zh-CN" w:bidi="ar"/>
        </w:rPr>
        <w:t>退役大学生士兵职业适应性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0"/>
        <w:jc w:val="center"/>
        <w:rPr>
          <w:rFonts w:hint="default" w:ascii="Tahoma" w:hAnsi="Tahoma" w:eastAsia="Tahoma" w:cs="Tahoma"/>
          <w:caps w:val="0"/>
          <w:color w:val="333333"/>
          <w:spacing w:val="0"/>
          <w:sz w:val="21"/>
          <w:szCs w:val="21"/>
        </w:rPr>
      </w:pPr>
      <w:r>
        <w:rPr>
          <w:rStyle w:val="5"/>
          <w:rFonts w:hint="eastAsia" w:ascii="宋体" w:hAnsi="宋体" w:eastAsia="宋体" w:cs="宋体"/>
          <w:caps w:val="0"/>
          <w:color w:val="333333"/>
          <w:spacing w:val="0"/>
          <w:kern w:val="0"/>
          <w:sz w:val="36"/>
          <w:szCs w:val="36"/>
          <w:bdr w:val="none" w:color="auto" w:sz="0" w:space="0"/>
          <w:lang w:val="en-US" w:eastAsia="zh-CN" w:bidi="ar"/>
        </w:rPr>
        <w:t>综合考查工作方案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65" w:lineRule="atLeast"/>
        <w:ind w:left="0" w:right="0" w:firstLine="0"/>
        <w:jc w:val="center"/>
        <w:rPr>
          <w:rFonts w:hint="default" w:ascii="Tahoma" w:hAnsi="Tahoma" w:eastAsia="Tahoma" w:cs="Tahoma"/>
          <w:caps w:val="0"/>
          <w:color w:val="333333"/>
          <w:spacing w:val="0"/>
          <w:sz w:val="21"/>
          <w:szCs w:val="21"/>
        </w:rPr>
      </w:pPr>
      <w:r>
        <w:rPr>
          <w:rStyle w:val="5"/>
          <w:rFonts w:hint="default" w:ascii="Tahoma" w:hAnsi="Tahoma" w:eastAsia="Tahoma" w:cs="Tahoma"/>
          <w:caps w:val="0"/>
          <w:color w:val="333333"/>
          <w:spacing w:val="0"/>
          <w:kern w:val="0"/>
          <w:sz w:val="31"/>
          <w:szCs w:val="3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ascii="仿宋_gb2312" w:hAnsi="仿宋_gb2312" w:eastAsia="仿宋_gb2312" w:cs="仿宋_gb2312"/>
          <w:caps w:val="0"/>
          <w:color w:val="333333"/>
          <w:spacing w:val="0"/>
          <w:kern w:val="0"/>
          <w:sz w:val="31"/>
          <w:szCs w:val="31"/>
          <w:bdr w:val="none" w:color="auto" w:sz="0" w:space="0"/>
          <w:lang w:val="en-US" w:eastAsia="zh-CN" w:bidi="ar"/>
        </w:rPr>
        <w:t>根据《省教育厅关于做好</w:t>
      </w:r>
      <w:r>
        <w:rPr>
          <w:rFonts w:hint="default" w:ascii="仿宋_gb2312" w:hAnsi="仿宋_gb2312" w:eastAsia="仿宋_gb2312" w:cs="仿宋_gb2312"/>
          <w:caps w:val="0"/>
          <w:color w:val="333333"/>
          <w:spacing w:val="0"/>
          <w:kern w:val="0"/>
          <w:sz w:val="31"/>
          <w:szCs w:val="31"/>
          <w:bdr w:val="none" w:color="auto" w:sz="0" w:space="0"/>
          <w:lang w:val="en-US" w:eastAsia="zh-CN" w:bidi="ar"/>
        </w:rPr>
        <w:t>2024年湖北省普通高等学校专升本工作的通知》（鄂教高函〔2024〕4号）精神，为做好我校2024年普通专升本退役大学生士兵职业适应性综合考查工作，特制定本工作方案。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5"/>
          <w:rFonts w:hint="default" w:ascii="仿宋_gb2312" w:hAnsi="仿宋_gb2312" w:eastAsia="仿宋_gb2312" w:cs="仿宋_gb2312"/>
          <w:caps w:val="0"/>
          <w:color w:val="333333"/>
          <w:spacing w:val="0"/>
          <w:kern w:val="0"/>
          <w:sz w:val="31"/>
          <w:szCs w:val="31"/>
          <w:bdr w:val="none" w:color="auto" w:sz="0" w:space="0"/>
          <w:lang w:val="en-US" w:eastAsia="zh-CN" w:bidi="ar"/>
        </w:rPr>
        <w:t>一、指导原则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根据教育部和省教育厅文件精神，严格执行招生、考试政策规定，遵循公开、公平、公正和择优的原则，严格考查标准和程序、规范操作、优化服务，规范开展我校2024年普通专升本退役大学生士兵职业适应性综合考查工作，充分保障学生平等受教育的权利、科学选拔人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5"/>
          <w:rFonts w:hint="default" w:ascii="仿宋_gb2312" w:hAnsi="仿宋_gb2312" w:eastAsia="仿宋_gb2312" w:cs="仿宋_gb2312"/>
          <w:caps w:val="0"/>
          <w:color w:val="333333"/>
          <w:spacing w:val="0"/>
          <w:kern w:val="0"/>
          <w:sz w:val="31"/>
          <w:szCs w:val="31"/>
          <w:bdr w:val="none" w:color="auto" w:sz="0" w:space="0"/>
          <w:lang w:val="en-US" w:eastAsia="zh-CN" w:bidi="ar"/>
        </w:rPr>
        <w:t>二、组织机构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本次普通专升本退役大学生士兵招生工作在学校普通专升本工作领导小组领导下开展。按省教育厅要求，为做好退役大学生士兵职业适应性综合考查工作，单独成立职业适应性综合考查工作组，由教务处处长任组长，教务处副处长和马克思主义学院、通识教育学院主要负责人为成员，办公室设在教务处。主要职责是：制定2024年普通专升本退役大学生士兵职业适应性综合考查工作方案，按照方案规定的工作程序开展考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5"/>
          <w:rFonts w:hint="default" w:ascii="仿宋_gb2312" w:hAnsi="仿宋_gb2312" w:eastAsia="仿宋_gb2312" w:cs="仿宋_gb2312"/>
          <w:caps w:val="0"/>
          <w:color w:val="333333"/>
          <w:spacing w:val="0"/>
          <w:kern w:val="0"/>
          <w:sz w:val="31"/>
          <w:szCs w:val="31"/>
          <w:bdr w:val="none" w:color="auto" w:sz="0" w:space="0"/>
          <w:lang w:val="en-US" w:eastAsia="zh-CN" w:bidi="ar"/>
        </w:rPr>
        <w:t>三、招生专业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招生专业10个，详见下表。</w:t>
      </w:r>
    </w:p>
    <w:tbl>
      <w:tblPr>
        <w:tblW w:w="129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64"/>
        <w:gridCol w:w="6025"/>
        <w:gridCol w:w="3384"/>
        <w:gridCol w:w="16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80" w:hRule="atLeast"/>
          <w:jc w:val="center"/>
        </w:trPr>
        <w:tc>
          <w:tcPr>
            <w:tcW w:w="722"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Style w:val="5"/>
                <w:rFonts w:hint="default" w:ascii="仿宋_gb2312" w:hAnsi="仿宋_gb2312" w:eastAsia="仿宋_gb2312" w:cs="仿宋_gb2312"/>
                <w:color w:val="333333"/>
                <w:kern w:val="0"/>
                <w:sz w:val="24"/>
                <w:szCs w:val="24"/>
                <w:bdr w:val="none" w:color="auto" w:sz="0" w:space="0"/>
                <w:lang w:val="en-US" w:eastAsia="zh-CN" w:bidi="ar"/>
              </w:rPr>
              <w:t>序号</w:t>
            </w:r>
            <w:bookmarkStart w:id="0" w:name="_GoBack"/>
            <w:bookmarkEnd w:id="0"/>
          </w:p>
        </w:tc>
        <w:tc>
          <w:tcPr>
            <w:tcW w:w="2334"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Style w:val="5"/>
                <w:rFonts w:hint="default" w:ascii="仿宋_gb2312" w:hAnsi="仿宋_gb2312" w:eastAsia="仿宋_gb2312" w:cs="仿宋_gb2312"/>
                <w:color w:val="333333"/>
                <w:kern w:val="0"/>
                <w:sz w:val="24"/>
                <w:szCs w:val="24"/>
                <w:bdr w:val="none" w:color="auto" w:sz="0" w:space="0"/>
                <w:lang w:val="en-US" w:eastAsia="zh-CN" w:bidi="ar"/>
              </w:rPr>
              <w:t>招生专业</w:t>
            </w:r>
          </w:p>
        </w:tc>
        <w:tc>
          <w:tcPr>
            <w:tcW w:w="1311"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Style w:val="5"/>
                <w:rFonts w:hint="default" w:ascii="仿宋_gb2312" w:hAnsi="仿宋_gb2312" w:eastAsia="仿宋_gb2312" w:cs="仿宋_gb2312"/>
                <w:color w:val="333333"/>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Style w:val="5"/>
                <w:rFonts w:hint="default" w:ascii="仿宋_gb2312" w:hAnsi="仿宋_gb2312" w:eastAsia="仿宋_gb2312" w:cs="仿宋_gb2312"/>
                <w:color w:val="333333"/>
                <w:kern w:val="0"/>
                <w:sz w:val="24"/>
                <w:szCs w:val="24"/>
                <w:bdr w:val="none" w:color="auto" w:sz="0" w:space="0"/>
                <w:lang w:val="en-US" w:eastAsia="zh-CN" w:bidi="ar"/>
              </w:rPr>
              <w:t>代码</w:t>
            </w:r>
          </w:p>
        </w:tc>
        <w:tc>
          <w:tcPr>
            <w:tcW w:w="630"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Style w:val="5"/>
                <w:rFonts w:hint="default" w:ascii="仿宋_gb2312" w:hAnsi="仿宋_gb2312" w:eastAsia="仿宋_gb2312" w:cs="仿宋_gb2312"/>
                <w:color w:val="333333"/>
                <w:kern w:val="0"/>
                <w:sz w:val="24"/>
                <w:szCs w:val="24"/>
                <w:bdr w:val="none" w:color="auto" w:sz="0" w:space="0"/>
                <w:lang w:val="en-US" w:eastAsia="zh-CN" w:bidi="ar"/>
              </w:rPr>
              <w:t>学制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722"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1</w:t>
            </w:r>
          </w:p>
        </w:tc>
        <w:tc>
          <w:tcPr>
            <w:tcW w:w="2334"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休闲体育</w:t>
            </w:r>
          </w:p>
        </w:tc>
        <w:tc>
          <w:tcPr>
            <w:tcW w:w="1311"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040207T</w:t>
            </w:r>
          </w:p>
        </w:tc>
        <w:tc>
          <w:tcPr>
            <w:tcW w:w="630"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722"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2</w:t>
            </w:r>
          </w:p>
        </w:tc>
        <w:tc>
          <w:tcPr>
            <w:tcW w:w="2334"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建筑环境与能源应用工程</w:t>
            </w:r>
          </w:p>
        </w:tc>
        <w:tc>
          <w:tcPr>
            <w:tcW w:w="1311"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081002</w:t>
            </w:r>
          </w:p>
        </w:tc>
        <w:tc>
          <w:tcPr>
            <w:tcW w:w="630"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722"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3</w:t>
            </w:r>
          </w:p>
        </w:tc>
        <w:tc>
          <w:tcPr>
            <w:tcW w:w="2334"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食品质量与安全</w:t>
            </w:r>
          </w:p>
        </w:tc>
        <w:tc>
          <w:tcPr>
            <w:tcW w:w="1311"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082702</w:t>
            </w:r>
          </w:p>
        </w:tc>
        <w:tc>
          <w:tcPr>
            <w:tcW w:w="630"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722"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4</w:t>
            </w:r>
          </w:p>
        </w:tc>
        <w:tc>
          <w:tcPr>
            <w:tcW w:w="2334"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烹饪与营养教育</w:t>
            </w:r>
          </w:p>
        </w:tc>
        <w:tc>
          <w:tcPr>
            <w:tcW w:w="1311"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082708T</w:t>
            </w:r>
          </w:p>
        </w:tc>
        <w:tc>
          <w:tcPr>
            <w:tcW w:w="630"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722"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5</w:t>
            </w:r>
          </w:p>
        </w:tc>
        <w:tc>
          <w:tcPr>
            <w:tcW w:w="2334"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人力资源管理</w:t>
            </w:r>
          </w:p>
        </w:tc>
        <w:tc>
          <w:tcPr>
            <w:tcW w:w="1311"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120206</w:t>
            </w:r>
          </w:p>
        </w:tc>
        <w:tc>
          <w:tcPr>
            <w:tcW w:w="630"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722"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6</w:t>
            </w:r>
          </w:p>
        </w:tc>
        <w:tc>
          <w:tcPr>
            <w:tcW w:w="2334"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零售业管理</w:t>
            </w:r>
          </w:p>
        </w:tc>
        <w:tc>
          <w:tcPr>
            <w:tcW w:w="1311"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120215T</w:t>
            </w:r>
          </w:p>
        </w:tc>
        <w:tc>
          <w:tcPr>
            <w:tcW w:w="630"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722"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7</w:t>
            </w:r>
          </w:p>
        </w:tc>
        <w:tc>
          <w:tcPr>
            <w:tcW w:w="2334"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酒店管理</w:t>
            </w:r>
          </w:p>
        </w:tc>
        <w:tc>
          <w:tcPr>
            <w:tcW w:w="1311"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120902</w:t>
            </w:r>
          </w:p>
        </w:tc>
        <w:tc>
          <w:tcPr>
            <w:tcW w:w="630"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722"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8</w:t>
            </w:r>
          </w:p>
        </w:tc>
        <w:tc>
          <w:tcPr>
            <w:tcW w:w="2334"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会展经济与管理</w:t>
            </w:r>
          </w:p>
        </w:tc>
        <w:tc>
          <w:tcPr>
            <w:tcW w:w="1311"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120903</w:t>
            </w:r>
          </w:p>
        </w:tc>
        <w:tc>
          <w:tcPr>
            <w:tcW w:w="630"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722"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9</w:t>
            </w:r>
          </w:p>
        </w:tc>
        <w:tc>
          <w:tcPr>
            <w:tcW w:w="2334"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旅游管理与服务教育</w:t>
            </w:r>
          </w:p>
        </w:tc>
        <w:tc>
          <w:tcPr>
            <w:tcW w:w="1311"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120904T</w:t>
            </w:r>
          </w:p>
        </w:tc>
        <w:tc>
          <w:tcPr>
            <w:tcW w:w="630"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722"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10</w:t>
            </w:r>
          </w:p>
        </w:tc>
        <w:tc>
          <w:tcPr>
            <w:tcW w:w="2334"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数字媒体艺术</w:t>
            </w:r>
          </w:p>
        </w:tc>
        <w:tc>
          <w:tcPr>
            <w:tcW w:w="1311"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130508</w:t>
            </w:r>
          </w:p>
        </w:tc>
        <w:tc>
          <w:tcPr>
            <w:tcW w:w="630"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5"/>
          <w:rFonts w:hint="default" w:ascii="仿宋_gb2312" w:hAnsi="仿宋_gb2312" w:eastAsia="仿宋_gb2312" w:cs="仿宋_gb2312"/>
          <w:caps w:val="0"/>
          <w:color w:val="333333"/>
          <w:spacing w:val="0"/>
          <w:kern w:val="0"/>
          <w:sz w:val="31"/>
          <w:szCs w:val="31"/>
          <w:bdr w:val="none" w:color="auto" w:sz="0" w:space="0"/>
          <w:lang w:val="en-US" w:eastAsia="zh-CN" w:bidi="ar"/>
        </w:rPr>
        <w:t>四、报考条件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考生须符合《武汉商学院2024年普通专升本招生简章》中规定的报考条件。考生所学专科专业须符合我校招生专业要求，详见招生简章中附件《武汉商学院2024年普通专升本招生专业对高职（专科）专业的报考范围要求》规定。如有特殊情况，由学校普通专升本工作领导小组办公室参照《普通高等学校高等职业教育（专科）专业目录新旧专业对照表》进行审核并提交学校普通专升本工作领导小组审议。审议通过的，可以报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5"/>
          <w:rFonts w:hint="default" w:ascii="仿宋_gb2312" w:hAnsi="仿宋_gb2312" w:eastAsia="仿宋_gb2312" w:cs="仿宋_gb2312"/>
          <w:caps w:val="0"/>
          <w:color w:val="333333"/>
          <w:spacing w:val="0"/>
          <w:kern w:val="0"/>
          <w:sz w:val="31"/>
          <w:szCs w:val="31"/>
          <w:bdr w:val="none" w:color="auto" w:sz="0" w:space="0"/>
          <w:lang w:val="en-US" w:eastAsia="zh-CN" w:bidi="ar"/>
        </w:rPr>
        <w:t>五、报名办法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详见《省教育厅关于做好2024年湖北省普通高等学校专升本工作的通知》和《武汉商学院2024年普通专升本招生简章》。考生须严格按湖北省和我校普通专升本工作相关要求进行报名，并提供相关材料参加资格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未经审查或审查未通过的考生不得参加职业适应性综合考查。根据省教育厅文件精神，资格审查将贯穿报名、考试、录取、报到等招生工作全过程，在整个普通专升本各工作环节中，一旦发现考生有弄虚作假、违规违纪行为，一律取消考生报名、考试、录取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5"/>
          <w:rFonts w:hint="default" w:ascii="仿宋_gb2312" w:hAnsi="仿宋_gb2312" w:eastAsia="仿宋_gb2312" w:cs="仿宋_gb2312"/>
          <w:caps w:val="0"/>
          <w:color w:val="333333"/>
          <w:spacing w:val="0"/>
          <w:kern w:val="0"/>
          <w:sz w:val="31"/>
          <w:szCs w:val="31"/>
          <w:bdr w:val="none" w:color="auto" w:sz="0" w:space="0"/>
          <w:lang w:val="en-US" w:eastAsia="zh-CN" w:bidi="ar"/>
        </w:rPr>
        <w:t>六、考查与录取办法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（一）考查方式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笔试，考试时长为120分钟。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（二）考查要点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主要考查时事政治、职业素养和专业认知。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（三）分值分配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职业适应性综合考查笔试满分100分，其中：时事政治50分、职业素养30分、专业认知20分。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5"/>
          <w:rFonts w:hint="default" w:ascii="仿宋_gb2312" w:hAnsi="仿宋_gb2312" w:eastAsia="仿宋_gb2312" w:cs="仿宋_gb2312"/>
          <w:caps w:val="0"/>
          <w:color w:val="333333"/>
          <w:spacing w:val="0"/>
          <w:kern w:val="0"/>
          <w:sz w:val="31"/>
          <w:szCs w:val="31"/>
          <w:bdr w:val="none" w:color="auto" w:sz="0" w:space="0"/>
          <w:lang w:val="en-US" w:eastAsia="zh-CN" w:bidi="ar"/>
        </w:rPr>
        <w:t>七、成绩查询与复核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我校成绩查询时间定于5月20日。成绩公布后，考生可在我校教务处主页“系统登录”专栏的专升本考务系统中查询考试成绩。“普通专升本”专栏将发布成绩复核通知。考生如对自己的考试成绩有疑问，可按规定程序申请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5"/>
          <w:rFonts w:hint="default" w:ascii="仿宋_gb2312" w:hAnsi="仿宋_gb2312" w:eastAsia="仿宋_gb2312" w:cs="仿宋_gb2312"/>
          <w:caps w:val="0"/>
          <w:color w:val="333333"/>
          <w:spacing w:val="0"/>
          <w:kern w:val="0"/>
          <w:sz w:val="31"/>
          <w:szCs w:val="31"/>
          <w:bdr w:val="none" w:color="auto" w:sz="0" w:space="0"/>
          <w:lang w:val="en-US" w:eastAsia="zh-CN" w:bidi="ar"/>
        </w:rPr>
        <w:t>八、录取原则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rPr>
        <w:t>（一）免试录取。申请免于参加综合考查且资格审查符合条件的退役大学生士兵考生优先录取。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rPr>
        <w:t>（二）第一轮录取。按职业适应性综合考查成绩从高到低排序录取，直至完成计划。总分相同时，按“职业素养”的成绩排序录取；“职业素养”的成绩也相同的，再按“时事政治”的成绩排序录取；“时事政治”的成绩也相同的，再按“专业认知”的成绩排序录取。各部分成绩都相同的全部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sz w:val="31"/>
          <w:szCs w:val="31"/>
          <w:bdr w:val="none" w:color="auto" w:sz="0" w:space="0"/>
        </w:rPr>
        <w:t>（三）补录。第一轮录取结束后，如果我校已完成招生计划，则不再进行补录。如果我校退役大学生士兵计划未完成，则待省教育厅在专升本报名平台公布我校补录计划后，第一轮未被录取的考生，可根据补录计划，对照我校招生简章要求进行补录报名。第一轮已被录取的考生不得再参加补录报名。学校将通过面试进行综合评价，择优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（四）凡录取后未报到、自行放弃入学资格的考生，此后不再享受免试专升本招生政策。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Style w:val="5"/>
          <w:rFonts w:hint="default" w:ascii="仿宋_gb2312" w:hAnsi="仿宋_gb2312" w:eastAsia="仿宋_gb2312" w:cs="仿宋_gb2312"/>
          <w:caps w:val="0"/>
          <w:color w:val="333333"/>
          <w:spacing w:val="0"/>
          <w:kern w:val="0"/>
          <w:sz w:val="31"/>
          <w:szCs w:val="31"/>
          <w:bdr w:val="none" w:color="auto" w:sz="0" w:space="0"/>
          <w:lang w:val="en-US" w:eastAsia="zh-CN" w:bidi="ar"/>
        </w:rPr>
        <w:t>九、违规处理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540" w:lineRule="atLeast"/>
        <w:ind w:left="0" w:right="0" w:firstLine="630"/>
        <w:jc w:val="left"/>
        <w:rPr>
          <w:rFonts w:hint="default" w:ascii="Tahoma" w:hAnsi="Tahoma" w:eastAsia="Tahoma" w:cs="Tahoma"/>
          <w:caps w:val="0"/>
          <w:color w:val="333333"/>
          <w:spacing w:val="0"/>
          <w:sz w:val="21"/>
          <w:szCs w:val="21"/>
        </w:rPr>
      </w:pPr>
      <w:r>
        <w:rPr>
          <w:rFonts w:hint="default" w:ascii="仿宋_gb2312" w:hAnsi="仿宋_gb2312" w:eastAsia="仿宋_gb2312" w:cs="仿宋_gb2312"/>
          <w:caps w:val="0"/>
          <w:color w:val="333333"/>
          <w:spacing w:val="0"/>
          <w:kern w:val="0"/>
          <w:sz w:val="31"/>
          <w:szCs w:val="31"/>
          <w:bdr w:val="none" w:color="auto" w:sz="0" w:space="0"/>
          <w:lang w:val="en-US" w:eastAsia="zh-CN" w:bidi="ar"/>
        </w:rPr>
        <w:t>凡是在退役大学生士兵专升本招生工作中违规的考生及工作人员，按照《国家教育考试违规处理办法》（教育部令第33号）处理。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OWQzOTc3ZGU4MDAwZmIzNmZiMmE2YzAzM2I5OTMifQ=="/>
  </w:docVars>
  <w:rsids>
    <w:rsidRoot w:val="59626759"/>
    <w:rsid w:val="5962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2024-03-17T02:11:00Z</dcterms:created>
  <dc:creator> 阿妮娜</dc:creator>
  <cp:lastModifiedBy> 阿妮娜</cp:lastModifiedBy>
  <dcterms:modified xsi:type="dcterms:W3CDTF">2024-03-17T02:11:51Z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D6ABE8F03A5B4D6394BBF7F06E9FC7AB_11</vt:lpwstr>
  </property>
</Properties>
</file>